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Hudiksvall kommunfullmäktige</w:t>
      </w:r>
    </w:p>
    <w:p>
      <w:pPr>
        <w:pStyle w:val="Heading1"/>
      </w:pPr>
      <w:r>
        <w:t xml:space="preserve">Tryggare skola utan diskriminering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Hudiksvall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Enligt Brås skolundersökning 2023 och kommunens trygghetsenkät förekommer kränkningar kopplade till kön och sexuell läggning i Hudiksvalls skolor. Liberalerna prioriterar en trygg skolmiljö för alla elever.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Hudiksvall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alla skolor ska ha en uppdaterad likabehandlingsplan med HBTQI-perspektiv.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personalen ska genomgå fortbildning i antidiskriminering och normkritik.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elevombudsman med särskilt ansvar för trygghet inrättas.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årliga elevenkäter om trygghet redovisas för barn- och utbildningsnämnden.</w:t>
      </w:r>
    </w:p>
    <w:p>
      <w:pPr>
        <w:spacing w:before="360"/>
      </w:pPr>
    </w:p>
    <w:p>
      <w:r>
        <w:t xml:space="preserve">Hudiksvall,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Hudiksvall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2026-07-14T03:28:59.536Z</dcterms:created>
  <dcterms:modified xsi:type="dcterms:W3CDTF">2026-07-14T03:28:59.536Z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